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материалам общего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собраения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собственников объекта, расположенного по адресу г. Санкт-Петербург, улица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Дибуновская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дом 22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ИНН/КПП 1001172822/780201001 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р/счет 40702810132530000577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В банк: Филиал «Санкт- Петербургский» АО «АЛЬФА-БАНК»</w:t>
      </w:r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 : </w:t>
      </w:r>
      <w:hyperlink r:id="rId9" w:tooltip="mailto:Borisov17.97@yandex.ru" w:history="1">
        <w:r>
          <w:rPr>
            <w:b/>
            <w:sz w:val="16"/>
            <w:szCs w:val="16"/>
            <w:lang w:val="en-US"/>
          </w:rPr>
          <w:t xml:space="preserve">Borisov17.97@yandex.ru</w:t>
        </w:r>
      </w:hyperlink>
      <w:r/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тел</w:t>
      </w:r>
      <w:r>
        <w:rPr>
          <w:b/>
          <w:sz w:val="16"/>
          <w:szCs w:val="16"/>
          <w:lang w:val="en-US"/>
        </w:rPr>
        <w:t xml:space="preserve">:  (812) 407 35 36/ 8911 937 00 37</w:t>
      </w:r>
      <w:r/>
    </w:p>
    <w:p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Группа компаний Ладожский Гранит</w:t>
      </w:r>
      <w:r/>
    </w:p>
    <w:p>
      <w:r>
        <w:rPr>
          <w:b/>
          <w:sz w:val="28"/>
          <w:szCs w:val="28"/>
        </w:rPr>
        <w:t xml:space="preserve">КОММЕРЧЕСКОЕ ПРЕДЛОЖЕНИЕ№ </w:t>
      </w:r>
      <w:r>
        <w:rPr>
          <w:b/>
          <w:sz w:val="28"/>
          <w:szCs w:val="28"/>
        </w:rPr>
        <w:t xml:space="preserve">13 </w:t>
      </w:r>
      <w:r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 xml:space="preserve">марта  202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г.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Адрес: г.Санкт-</w:t>
      </w:r>
      <w:r>
        <w:rPr>
          <w:sz w:val="24"/>
          <w:szCs w:val="24"/>
        </w:rPr>
        <w:t xml:space="preserve">Петербург 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Дибуновская</w:t>
      </w:r>
      <w:r>
        <w:rPr>
          <w:sz w:val="24"/>
          <w:szCs w:val="24"/>
        </w:rPr>
        <w:t xml:space="preserve">, д22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Кому:</w:t>
      </w:r>
      <w:r>
        <w:rPr>
          <w:color w:val="000000"/>
          <w:sz w:val="27"/>
          <w:szCs w:val="27"/>
        </w:rPr>
        <w:t xml:space="preserve">Управляющей.</w:t>
      </w:r>
      <w:r/>
    </w:p>
    <w:tbl>
      <w:tblPr>
        <w:tblStyle w:val="602"/>
        <w:tblW w:w="1083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709"/>
        <w:gridCol w:w="850"/>
        <w:gridCol w:w="1418"/>
        <w:gridCol w:w="1622"/>
      </w:tblGrid>
      <w:tr>
        <w:trPr/>
        <w:tc>
          <w:tcPr>
            <w:gridSpan w:val="6"/>
            <w:tcW w:w="1083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Ремонт лицевой стены квартирного холла.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W w:w="58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Косметический ремонт стены входного холла с нанесением «венецианской штукатурки» </w:t>
            </w:r>
            <w:r>
              <w:rPr>
                <w:sz w:val="20"/>
                <w:szCs w:val="20"/>
              </w:rPr>
              <w:t xml:space="preserve">(комплекс работ -включая все расходные материалы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3000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78000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4"/>
            <w:tcW w:w="87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всего по работам</w:t>
            </w:r>
            <w:r>
              <w:rPr>
                <w:b/>
                <w:sz w:val="20"/>
                <w:szCs w:val="20"/>
              </w:rPr>
              <w:tab/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78000</w:t>
            </w:r>
            <w:r/>
          </w:p>
        </w:tc>
      </w:tr>
    </w:tbl>
    <w:p>
      <w:r/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Стены, в состав работ входит</w:t>
      </w:r>
      <w:r>
        <w:rPr>
          <w:sz w:val="20"/>
          <w:szCs w:val="20"/>
        </w:rPr>
        <w:t xml:space="preserve">: Демонтаж обоев с нанесенной </w:t>
      </w:r>
      <w:r>
        <w:rPr>
          <w:sz w:val="20"/>
          <w:szCs w:val="20"/>
        </w:rPr>
        <w:t xml:space="preserve">штукатуркой ,</w:t>
      </w:r>
      <w:r>
        <w:rPr>
          <w:sz w:val="20"/>
          <w:szCs w:val="20"/>
        </w:rPr>
        <w:t xml:space="preserve"> подготовка поверхности  для нанесения фактурной штукатурки (венецианки) шпатлевка  , </w:t>
      </w:r>
      <w:r>
        <w:rPr>
          <w:sz w:val="20"/>
          <w:szCs w:val="20"/>
        </w:rPr>
        <w:t xml:space="preserve">огрунтовка</w:t>
      </w:r>
      <w:r>
        <w:rPr>
          <w:sz w:val="20"/>
          <w:szCs w:val="20"/>
        </w:rPr>
        <w:t xml:space="preserve"> поверхности, наклейка холста ,грунтовка, нанесение штукатурки .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В стоимость включены все </w:t>
      </w:r>
      <w:r>
        <w:rPr>
          <w:sz w:val="20"/>
          <w:szCs w:val="20"/>
        </w:rPr>
        <w:t xml:space="preserve">высококачественные  расходные</w:t>
      </w:r>
      <w:r>
        <w:rPr>
          <w:sz w:val="20"/>
          <w:szCs w:val="20"/>
        </w:rPr>
        <w:t xml:space="preserve"> материалы ,доставка ,уборка, вынос ,вывоз и утилизация строительного мусора</w:t>
      </w:r>
      <w:r/>
    </w:p>
    <w:p>
      <w:r/>
      <w:r/>
    </w:p>
    <w:p>
      <w:pPr>
        <w:rPr>
          <w:b/>
        </w:rPr>
      </w:pPr>
      <w:r>
        <w:rPr>
          <w:b/>
        </w:rPr>
        <w:t xml:space="preserve">Сроки выполнения работ </w:t>
      </w:r>
      <w:r>
        <w:rPr>
          <w:b/>
        </w:rPr>
        <w:t xml:space="preserve">уточняются дополнительно в зависимости от предложенного </w:t>
      </w:r>
      <w:r>
        <w:rPr>
          <w:b/>
        </w:rPr>
        <w:t xml:space="preserve">варианта .</w:t>
      </w:r>
      <w:r/>
    </w:p>
    <w:p>
      <w:pPr>
        <w:rPr>
          <w:b/>
        </w:rPr>
      </w:pPr>
      <w:r>
        <w:rPr>
          <w:b/>
        </w:rPr>
        <w:t xml:space="preserve">Гарантия на выполненные работы 36 месяцев</w:t>
      </w:r>
      <w:r/>
    </w:p>
    <w:p>
      <w:pPr>
        <w:rPr>
          <w:b/>
        </w:rPr>
      </w:pPr>
      <w:r>
        <w:rPr>
          <w:b/>
        </w:rPr>
        <w:t xml:space="preserve">С уважением,                                                             Генеральный директор Борисов В.Н.</w:t>
      </w:r>
      <w:r/>
    </w:p>
    <w:p>
      <w:r/>
      <w:r/>
    </w:p>
    <w:p>
      <w:r>
        <w:t xml:space="preserve">Целевой взнос рассчитывается, исходя из суммы коммерческог</w:t>
      </w:r>
      <w:r>
        <w:t xml:space="preserve">о предложения и площади жилых помещений. Площадь жилых помещений 3150,6</w:t>
      </w:r>
      <w:r>
        <w:t xml:space="preserve"> м</w:t>
      </w:r>
      <w:r>
        <w:rPr>
          <w:vertAlign w:val="superscript"/>
        </w:rPr>
        <w:t xml:space="preserve">2</w:t>
      </w:r>
      <w:r>
        <w:t xml:space="preserve"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</w:t>
      </w:r>
      <w:r>
        <w:t xml:space="preserve">тственно, стоимость работ 78 000</w:t>
      </w:r>
      <w:r>
        <w:t xml:space="preserve"> р. Ре</w:t>
      </w:r>
      <w:r>
        <w:t xml:space="preserve">нтабельность 10% - 7800</w:t>
      </w:r>
      <w:r>
        <w:t xml:space="preserve"> р</w:t>
      </w:r>
      <w:r>
        <w:t xml:space="preserve">.</w:t>
      </w:r>
      <w:r/>
    </w:p>
    <w:p>
      <w:r>
        <w:t xml:space="preserve">78 000 + 7800 = 85800</w:t>
      </w:r>
      <w:r>
        <w:t xml:space="preserve"> р.</w:t>
      </w:r>
      <w:r/>
    </w:p>
    <w:p>
      <w:r>
        <w:t xml:space="preserve">85 800/3150,6 = 27,24</w:t>
      </w:r>
      <w:bookmarkStart w:id="0" w:name="_GoBack"/>
      <w:r/>
      <w:bookmarkEnd w:id="0"/>
      <w:r>
        <w:t xml:space="preserve"> р. Данная сумма от</w:t>
      </w:r>
      <w:r>
        <w:t xml:space="preserve">ражена в повестке ОСС вопрос №13</w:t>
      </w:r>
      <w: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eastAsiaTheme="minorEastAsia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rPr>
      <w:rFonts w:eastAsiaTheme="minorEastAsia"/>
      <w:lang w:eastAsia="ru-RU"/>
    </w:rPr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table" w:styleId="603" w:customStyle="1">
    <w:name w:val="Сетка таблицы1"/>
    <w:basedOn w:val="600"/>
    <w:next w:val="602"/>
    <w:uiPriority w:val="59"/>
    <w:rPr>
      <w:rFonts w:eastAsia="Times New Roman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Borisov17.97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Аллекова</cp:lastModifiedBy>
  <cp:revision>3</cp:revision>
  <dcterms:created xsi:type="dcterms:W3CDTF">2022-03-25T06:55:00Z</dcterms:created>
  <dcterms:modified xsi:type="dcterms:W3CDTF">2022-03-25T08:56:37Z</dcterms:modified>
</cp:coreProperties>
</file>